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360" w:lineRule="auto"/>
        <w:jc w:val="center"/>
        <w:rPr>
          <w:rFonts w:ascii="Verdana" w:cs="Verdana" w:eastAsia="Verdana" w:hAnsi="Verdana"/>
          <w:b w:val="1"/>
          <w:color w:val="cc0000"/>
          <w:sz w:val="32"/>
          <w:szCs w:val="32"/>
          <w:u w:val="single"/>
        </w:rPr>
      </w:pPr>
      <w:r w:rsidDel="00000000" w:rsidR="00000000" w:rsidRPr="00000000">
        <w:rPr>
          <w:rFonts w:ascii="Verdana" w:cs="Verdana" w:eastAsia="Verdana" w:hAnsi="Verdana"/>
          <w:b w:val="1"/>
          <w:color w:val="cc0000"/>
          <w:sz w:val="32"/>
          <w:szCs w:val="32"/>
          <w:u w:val="single"/>
          <w:rtl w:val="0"/>
        </w:rPr>
        <w:t xml:space="preserve">Méthode : L’insertion des exemples</w:t>
      </w:r>
    </w:p>
    <w:p w:rsidR="00000000" w:rsidDel="00000000" w:rsidP="00000000" w:rsidRDefault="00000000" w:rsidRPr="00000000" w14:paraId="00000002">
      <w:pPr>
        <w:pageBreakBefore w:val="0"/>
        <w:spacing w:line="360" w:lineRule="auto"/>
        <w:jc w:val="center"/>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03">
      <w:pPr>
        <w:pageBreakBefore w:val="0"/>
        <w:spacing w:line="36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 grande majorité des questions qui vous sont posées sur un texte nécessitent de le citer, le plus souvent pour justifier vos propos. Il convient d’insérer ces exemples correctement afin de ne pas nuire à la formulation de vos réponses. </w:t>
      </w:r>
    </w:p>
    <w:p w:rsidR="00000000" w:rsidDel="00000000" w:rsidP="00000000" w:rsidRDefault="00000000" w:rsidRPr="00000000" w14:paraId="00000004">
      <w:pPr>
        <w:pageBreakBefore w:val="0"/>
        <w:spacing w:line="36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5">
      <w:pPr>
        <w:pageBreakBefore w:val="0"/>
        <w:numPr>
          <w:ilvl w:val="0"/>
          <w:numId w:val="2"/>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u w:val="single"/>
          <w:rtl w:val="0"/>
        </w:rPr>
        <w:t xml:space="preserve">Les codes typographiques à respecter</w:t>
      </w:r>
    </w:p>
    <w:p w:rsidR="00000000" w:rsidDel="00000000" w:rsidP="00000000" w:rsidRDefault="00000000" w:rsidRPr="00000000" w14:paraId="00000006">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07">
      <w:pPr>
        <w:pageBreakBefore w:val="0"/>
        <w:numPr>
          <w:ilvl w:val="0"/>
          <w:numId w:val="5"/>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Toute citation doit être signalée par l’emploi de guillemets. </w:t>
      </w:r>
    </w:p>
    <w:p w:rsidR="00000000" w:rsidDel="00000000" w:rsidP="00000000" w:rsidRDefault="00000000" w:rsidRPr="00000000" w14:paraId="00000008">
      <w:pPr>
        <w:pageBreakBefore w:val="0"/>
        <w:spacing w:line="360"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9">
      <w:pPr>
        <w:pageBreakBefore w:val="0"/>
        <w:numPr>
          <w:ilvl w:val="0"/>
          <w:numId w:val="5"/>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Situez votre citation dans le passage étudié (numéro de ligne ou de vers).</w:t>
      </w:r>
    </w:p>
    <w:p w:rsidR="00000000" w:rsidDel="00000000" w:rsidP="00000000" w:rsidRDefault="00000000" w:rsidRPr="00000000" w14:paraId="0000000A">
      <w:pPr>
        <w:pageBreakBefore w:val="0"/>
        <w:spacing w:line="360"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B">
      <w:pPr>
        <w:pageBreakBefore w:val="0"/>
        <w:numPr>
          <w:ilvl w:val="0"/>
          <w:numId w:val="5"/>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S’il s’agit d’une longue citation, sélectionnez ce qui est indispensable à votre analyse et remplacez ce que vous pouvez couper par des crochets contenant des points de suspension. </w:t>
      </w:r>
    </w:p>
    <w:p w:rsidR="00000000" w:rsidDel="00000000" w:rsidP="00000000" w:rsidRDefault="00000000" w:rsidRPr="00000000" w14:paraId="0000000C">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Exemple: </w:t>
      </w:r>
    </w:p>
    <w:p w:rsidR="00000000" w:rsidDel="00000000" w:rsidP="00000000" w:rsidRDefault="00000000" w:rsidRPr="00000000" w14:paraId="0000000D">
      <w:pPr>
        <w:pageBreakBefore w:val="0"/>
        <w:spacing w:line="360" w:lineRule="auto"/>
        <w:ind w:left="720" w:firstLine="0"/>
        <w:rPr>
          <w:rFonts w:ascii="Verdana" w:cs="Verdana" w:eastAsia="Verdana" w:hAnsi="Verdana"/>
          <w:b w:val="1"/>
          <w:i w:val="1"/>
          <w:color w:val="666666"/>
          <w:sz w:val="24"/>
          <w:szCs w:val="24"/>
        </w:rPr>
      </w:pPr>
      <w:r w:rsidDel="00000000" w:rsidR="00000000" w:rsidRPr="00000000">
        <w:rPr>
          <w:rFonts w:ascii="Verdana" w:cs="Verdana" w:eastAsia="Verdana" w:hAnsi="Verdana"/>
          <w:i w:val="1"/>
          <w:color w:val="666666"/>
          <w:sz w:val="24"/>
          <w:szCs w:val="24"/>
          <w:rtl w:val="0"/>
        </w:rPr>
        <w:t xml:space="preserve">La particularité de cette île est d’être contrôlée par d’anciens esclaves, qui punissent les maîtres échouant sur leur terre. Iphicrate explique cela </w:t>
      </w:r>
      <w:r w:rsidDel="00000000" w:rsidR="00000000" w:rsidRPr="00000000">
        <w:rPr>
          <w:rFonts w:ascii="Verdana" w:cs="Verdana" w:eastAsia="Verdana" w:hAnsi="Verdana"/>
          <w:b w:val="1"/>
          <w:i w:val="1"/>
          <w:color w:val="666666"/>
          <w:sz w:val="24"/>
          <w:szCs w:val="24"/>
          <w:rtl w:val="0"/>
        </w:rPr>
        <w:t xml:space="preserve">aux lignes 26 à 29</w:t>
      </w:r>
      <w:r w:rsidDel="00000000" w:rsidR="00000000" w:rsidRPr="00000000">
        <w:rPr>
          <w:rFonts w:ascii="Verdana" w:cs="Verdana" w:eastAsia="Verdana" w:hAnsi="Verdana"/>
          <w:i w:val="1"/>
          <w:color w:val="666666"/>
          <w:sz w:val="24"/>
          <w:szCs w:val="24"/>
          <w:rtl w:val="0"/>
        </w:rPr>
        <w:t xml:space="preserve">: </w:t>
      </w:r>
      <w:r w:rsidDel="00000000" w:rsidR="00000000" w:rsidRPr="00000000">
        <w:rPr>
          <w:rFonts w:ascii="Verdana" w:cs="Verdana" w:eastAsia="Verdana" w:hAnsi="Verdana"/>
          <w:b w:val="1"/>
          <w:i w:val="1"/>
          <w:color w:val="666666"/>
          <w:sz w:val="24"/>
          <w:szCs w:val="24"/>
          <w:rtl w:val="0"/>
        </w:rPr>
        <w:t xml:space="preserve">“</w:t>
      </w:r>
      <w:r w:rsidDel="00000000" w:rsidR="00000000" w:rsidRPr="00000000">
        <w:rPr>
          <w:rFonts w:ascii="Verdana" w:cs="Verdana" w:eastAsia="Verdana" w:hAnsi="Verdana"/>
          <w:i w:val="1"/>
          <w:color w:val="666666"/>
          <w:sz w:val="24"/>
          <w:szCs w:val="24"/>
          <w:rtl w:val="0"/>
        </w:rPr>
        <w:t xml:space="preserve">Ce sont des esclaves de la Grèce révoltés contre leurs maîtres </w:t>
      </w:r>
      <w:r w:rsidDel="00000000" w:rsidR="00000000" w:rsidRPr="00000000">
        <w:rPr>
          <w:rFonts w:ascii="Verdana" w:cs="Verdana" w:eastAsia="Verdana" w:hAnsi="Verdana"/>
          <w:b w:val="1"/>
          <w:i w:val="1"/>
          <w:color w:val="666666"/>
          <w:sz w:val="24"/>
          <w:szCs w:val="24"/>
          <w:rtl w:val="0"/>
        </w:rPr>
        <w:t xml:space="preserve">[...]</w:t>
      </w:r>
      <w:r w:rsidDel="00000000" w:rsidR="00000000" w:rsidRPr="00000000">
        <w:rPr>
          <w:rFonts w:ascii="Verdana" w:cs="Verdana" w:eastAsia="Verdana" w:hAnsi="Verdana"/>
          <w:i w:val="1"/>
          <w:color w:val="666666"/>
          <w:sz w:val="24"/>
          <w:szCs w:val="24"/>
          <w:rtl w:val="0"/>
        </w:rPr>
        <w:t xml:space="preserve"> et leur coutume, mon cher Arlequin, est de tuer tous les maîtres qu'ils rencontrent, ou de les jeter dans l'esclavage.</w:t>
      </w:r>
      <w:r w:rsidDel="00000000" w:rsidR="00000000" w:rsidRPr="00000000">
        <w:rPr>
          <w:rFonts w:ascii="Verdana" w:cs="Verdana" w:eastAsia="Verdana" w:hAnsi="Verdana"/>
          <w:b w:val="1"/>
          <w:i w:val="1"/>
          <w:color w:val="666666"/>
          <w:sz w:val="24"/>
          <w:szCs w:val="24"/>
          <w:rtl w:val="0"/>
        </w:rPr>
        <w:t xml:space="preserve">”</w:t>
      </w:r>
    </w:p>
    <w:p w:rsidR="00000000" w:rsidDel="00000000" w:rsidP="00000000" w:rsidRDefault="00000000" w:rsidRPr="00000000" w14:paraId="0000000E">
      <w:pPr>
        <w:pageBreakBefore w:val="0"/>
        <w:spacing w:line="360" w:lineRule="auto"/>
        <w:rPr>
          <w:rFonts w:ascii="Verdana" w:cs="Verdana" w:eastAsia="Verdana" w:hAnsi="Verdana"/>
          <w:i w:val="1"/>
          <w:sz w:val="24"/>
          <w:szCs w:val="24"/>
        </w:rPr>
      </w:pPr>
      <w:r w:rsidDel="00000000" w:rsidR="00000000" w:rsidRPr="00000000">
        <w:rPr>
          <w:rtl w:val="0"/>
        </w:rPr>
      </w:r>
    </w:p>
    <w:p w:rsidR="00000000" w:rsidDel="00000000" w:rsidP="00000000" w:rsidRDefault="00000000" w:rsidRPr="00000000" w14:paraId="0000000F">
      <w:pPr>
        <w:pageBreakBefore w:val="0"/>
        <w:numPr>
          <w:ilvl w:val="0"/>
          <w:numId w:val="6"/>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Vous pouvez modifier une citation si vous le signalez par des crochets. </w:t>
      </w:r>
    </w:p>
    <w:p w:rsidR="00000000" w:rsidDel="00000000" w:rsidP="00000000" w:rsidRDefault="00000000" w:rsidRPr="00000000" w14:paraId="00000010">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Exemple:</w:t>
      </w:r>
    </w:p>
    <w:p w:rsidR="00000000" w:rsidDel="00000000" w:rsidP="00000000" w:rsidRDefault="00000000" w:rsidRPr="00000000" w14:paraId="00000011">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Le comédien jouant Arlequin devrait choisir un ton ironique pour dire cette réplique. En effet, Arlequin dit le contraire de ce qu’il pense: il ne plaint pas du tout son maître, car Iphicrate l’a traité “comme un pauvre animal” (l.45), et il estime que ce qu’il risque n’est qu’un juste retour des choses. La didascalie accompagnant cette réplique apparaît comme un indice clair de cette attitude moqueuse, puisque Arlequin “</w:t>
      </w:r>
      <w:r w:rsidDel="00000000" w:rsidR="00000000" w:rsidRPr="00000000">
        <w:rPr>
          <w:rFonts w:ascii="Verdana" w:cs="Verdana" w:eastAsia="Verdana" w:hAnsi="Verdana"/>
          <w:b w:val="1"/>
          <w:i w:val="1"/>
          <w:color w:val="666666"/>
          <w:sz w:val="24"/>
          <w:szCs w:val="24"/>
          <w:rtl w:val="0"/>
        </w:rPr>
        <w:t xml:space="preserve">[prend]</w:t>
      </w:r>
      <w:r w:rsidDel="00000000" w:rsidR="00000000" w:rsidRPr="00000000">
        <w:rPr>
          <w:rFonts w:ascii="Verdana" w:cs="Verdana" w:eastAsia="Verdana" w:hAnsi="Verdana"/>
          <w:i w:val="1"/>
          <w:color w:val="666666"/>
          <w:sz w:val="24"/>
          <w:szCs w:val="24"/>
          <w:rtl w:val="0"/>
        </w:rPr>
        <w:t xml:space="preserve"> sa bouteille pour boire” (l.37), un geste indiquant la désinvolture.</w:t>
      </w:r>
    </w:p>
    <w:p w:rsidR="00000000" w:rsidDel="00000000" w:rsidP="00000000" w:rsidRDefault="00000000" w:rsidRPr="00000000" w14:paraId="00000012">
      <w:pPr>
        <w:pageBreakBefore w:val="0"/>
        <w:spacing w:line="360" w:lineRule="auto"/>
        <w:ind w:left="7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Ici, on a remplacé “prenant” par “prend”.</w:t>
      </w:r>
    </w:p>
    <w:p w:rsidR="00000000" w:rsidDel="00000000" w:rsidP="00000000" w:rsidRDefault="00000000" w:rsidRPr="00000000" w14:paraId="00000013">
      <w:pPr>
        <w:pageBreakBefore w:val="0"/>
        <w:spacing w:line="360" w:lineRule="auto"/>
        <w:rPr>
          <w:rFonts w:ascii="Verdana" w:cs="Verdana" w:eastAsia="Verdana" w:hAnsi="Verdana"/>
          <w:i w:val="1"/>
          <w:sz w:val="24"/>
          <w:szCs w:val="24"/>
        </w:rPr>
      </w:pPr>
      <w:r w:rsidDel="00000000" w:rsidR="00000000" w:rsidRPr="00000000">
        <w:rPr>
          <w:rtl w:val="0"/>
        </w:rPr>
      </w:r>
    </w:p>
    <w:p w:rsidR="00000000" w:rsidDel="00000000" w:rsidP="00000000" w:rsidRDefault="00000000" w:rsidRPr="00000000" w14:paraId="00000014">
      <w:pPr>
        <w:pageBreakBefore w:val="0"/>
        <w:numPr>
          <w:ilvl w:val="0"/>
          <w:numId w:val="4"/>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Si vous citez deux vers qui se suivent, indiquez la typographie du texte d’origine grâce à une barre oblique. </w:t>
      </w:r>
    </w:p>
    <w:p w:rsidR="00000000" w:rsidDel="00000000" w:rsidP="00000000" w:rsidRDefault="00000000" w:rsidRPr="00000000" w14:paraId="00000015">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Exemple: </w:t>
      </w:r>
    </w:p>
    <w:p w:rsidR="00000000" w:rsidDel="00000000" w:rsidP="00000000" w:rsidRDefault="00000000" w:rsidRPr="00000000" w14:paraId="00000016">
      <w:pPr>
        <w:pageBreakBefore w:val="0"/>
        <w:spacing w:line="360" w:lineRule="auto"/>
        <w:ind w:left="720" w:firstLine="0"/>
        <w:rPr>
          <w:rFonts w:ascii="Verdana" w:cs="Verdana" w:eastAsia="Verdana" w:hAnsi="Verdana"/>
          <w:i w:val="1"/>
          <w:sz w:val="24"/>
          <w:szCs w:val="24"/>
        </w:rPr>
      </w:pPr>
      <w:r w:rsidDel="00000000" w:rsidR="00000000" w:rsidRPr="00000000">
        <w:rPr>
          <w:rFonts w:ascii="Verdana" w:cs="Verdana" w:eastAsia="Verdana" w:hAnsi="Verdana"/>
          <w:i w:val="1"/>
          <w:color w:val="666666"/>
          <w:sz w:val="24"/>
          <w:szCs w:val="24"/>
          <w:rtl w:val="0"/>
        </w:rPr>
        <w:t xml:space="preserve">A partir du vers 1420, Cyrano emploie la métaphore filée de l’eau pour désigner le discours amoureux: “Au lieu de boire goutte à goutte, en un mignon</w:t>
      </w:r>
      <w:r w:rsidDel="00000000" w:rsidR="00000000" w:rsidRPr="00000000">
        <w:rPr>
          <w:rFonts w:ascii="Verdana" w:cs="Verdana" w:eastAsia="Verdana" w:hAnsi="Verdana"/>
          <w:b w:val="1"/>
          <w:i w:val="1"/>
          <w:color w:val="666666"/>
          <w:sz w:val="24"/>
          <w:szCs w:val="24"/>
          <w:rtl w:val="0"/>
        </w:rPr>
        <w:t xml:space="preserve"> /</w:t>
      </w:r>
      <w:r w:rsidDel="00000000" w:rsidR="00000000" w:rsidRPr="00000000">
        <w:rPr>
          <w:rFonts w:ascii="Verdana" w:cs="Verdana" w:eastAsia="Verdana" w:hAnsi="Verdana"/>
          <w:i w:val="1"/>
          <w:color w:val="666666"/>
          <w:sz w:val="24"/>
          <w:szCs w:val="24"/>
          <w:rtl w:val="0"/>
        </w:rPr>
        <w:t xml:space="preserve"> Dé à coudre d’or fin, l’eau fade du Lignon,</w:t>
      </w:r>
      <w:r w:rsidDel="00000000" w:rsidR="00000000" w:rsidRPr="00000000">
        <w:rPr>
          <w:rFonts w:ascii="Verdana" w:cs="Verdana" w:eastAsia="Verdana" w:hAnsi="Verdana"/>
          <w:b w:val="1"/>
          <w:i w:val="1"/>
          <w:color w:val="666666"/>
          <w:sz w:val="24"/>
          <w:szCs w:val="24"/>
          <w:rtl w:val="0"/>
        </w:rPr>
        <w:t xml:space="preserve"> / </w:t>
      </w:r>
      <w:r w:rsidDel="00000000" w:rsidR="00000000" w:rsidRPr="00000000">
        <w:rPr>
          <w:rFonts w:ascii="Verdana" w:cs="Verdana" w:eastAsia="Verdana" w:hAnsi="Verdana"/>
          <w:i w:val="1"/>
          <w:color w:val="666666"/>
          <w:sz w:val="24"/>
          <w:szCs w:val="24"/>
          <w:rtl w:val="0"/>
        </w:rPr>
        <w:t xml:space="preserve">Si l’on tentait de voir comment l’âme s’abreuve</w:t>
      </w:r>
      <w:r w:rsidDel="00000000" w:rsidR="00000000" w:rsidRPr="00000000">
        <w:rPr>
          <w:rFonts w:ascii="Verdana" w:cs="Verdana" w:eastAsia="Verdana" w:hAnsi="Verdana"/>
          <w:b w:val="1"/>
          <w:i w:val="1"/>
          <w:color w:val="666666"/>
          <w:sz w:val="24"/>
          <w:szCs w:val="24"/>
          <w:rtl w:val="0"/>
        </w:rPr>
        <w:t xml:space="preserve"> / </w:t>
      </w:r>
      <w:r w:rsidDel="00000000" w:rsidR="00000000" w:rsidRPr="00000000">
        <w:rPr>
          <w:rFonts w:ascii="Verdana" w:cs="Verdana" w:eastAsia="Verdana" w:hAnsi="Verdana"/>
          <w:i w:val="1"/>
          <w:color w:val="666666"/>
          <w:sz w:val="24"/>
          <w:szCs w:val="24"/>
          <w:rtl w:val="0"/>
        </w:rPr>
        <w:t xml:space="preserve">En buvant largement à même le grand fleuve !”. </w:t>
      </w:r>
      <w:r w:rsidDel="00000000" w:rsidR="00000000" w:rsidRPr="00000000">
        <w:rPr>
          <w:rtl w:val="0"/>
        </w:rPr>
      </w:r>
    </w:p>
    <w:p w:rsidR="00000000" w:rsidDel="00000000" w:rsidP="00000000" w:rsidRDefault="00000000" w:rsidRPr="00000000" w14:paraId="00000017">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18">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19">
      <w:pPr>
        <w:pageBreakBefore w:val="0"/>
        <w:numPr>
          <w:ilvl w:val="0"/>
          <w:numId w:val="2"/>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u w:val="single"/>
          <w:rtl w:val="0"/>
        </w:rPr>
        <w:t xml:space="preserve">Outils d’insertion possibles</w:t>
      </w:r>
    </w:p>
    <w:p w:rsidR="00000000" w:rsidDel="00000000" w:rsidP="00000000" w:rsidRDefault="00000000" w:rsidRPr="00000000" w14:paraId="0000001A">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1B">
      <w:pPr>
        <w:pageBreakBefore w:val="0"/>
        <w:spacing w:line="36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Une citation ne peut pas constituer une phrase, à part, sans être insérée dans votre analyse. Organisez votre réponse en incluant les éléments du texte que vous souhaitez citer. </w:t>
      </w:r>
    </w:p>
    <w:p w:rsidR="00000000" w:rsidDel="00000000" w:rsidP="00000000" w:rsidRDefault="00000000" w:rsidRPr="00000000" w14:paraId="0000001C">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1D">
      <w:pPr>
        <w:pageBreakBefore w:val="0"/>
        <w:numPr>
          <w:ilvl w:val="0"/>
          <w:numId w:val="3"/>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Les deux points</w:t>
      </w:r>
    </w:p>
    <w:p w:rsidR="00000000" w:rsidDel="00000000" w:rsidP="00000000" w:rsidRDefault="00000000" w:rsidRPr="00000000" w14:paraId="0000001E">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 A la fin de la scène, il utilise le tutoiement, et prend la posture du donneur de leçon</w:t>
      </w:r>
      <w:r w:rsidDel="00000000" w:rsidR="00000000" w:rsidRPr="00000000">
        <w:rPr>
          <w:rFonts w:ascii="Verdana" w:cs="Verdana" w:eastAsia="Verdana" w:hAnsi="Verdana"/>
          <w:b w:val="1"/>
          <w:i w:val="1"/>
          <w:color w:val="666666"/>
          <w:sz w:val="24"/>
          <w:szCs w:val="24"/>
          <w:rtl w:val="0"/>
        </w:rPr>
        <w:t xml:space="preserve">:</w:t>
      </w:r>
      <w:r w:rsidDel="00000000" w:rsidR="00000000" w:rsidRPr="00000000">
        <w:rPr>
          <w:rFonts w:ascii="Verdana" w:cs="Verdana" w:eastAsia="Verdana" w:hAnsi="Verdana"/>
          <w:i w:val="1"/>
          <w:color w:val="666666"/>
          <w:sz w:val="24"/>
          <w:szCs w:val="24"/>
          <w:rtl w:val="0"/>
        </w:rPr>
        <w:t xml:space="preserve"> “je le confesse à ta honte, mais va, je te le pardonne” (l.43-44).</w:t>
      </w:r>
    </w:p>
    <w:p w:rsidR="00000000" w:rsidDel="00000000" w:rsidP="00000000" w:rsidRDefault="00000000" w:rsidRPr="00000000" w14:paraId="0000001F">
      <w:pPr>
        <w:pageBreakBefore w:val="0"/>
        <w:spacing w:line="360" w:lineRule="auto"/>
        <w:rPr>
          <w:rFonts w:ascii="Verdana" w:cs="Verdana" w:eastAsia="Verdana" w:hAnsi="Verdana"/>
          <w:i w:val="1"/>
          <w:sz w:val="24"/>
          <w:szCs w:val="24"/>
        </w:rPr>
      </w:pPr>
      <w:r w:rsidDel="00000000" w:rsidR="00000000" w:rsidRPr="00000000">
        <w:rPr>
          <w:rtl w:val="0"/>
        </w:rPr>
      </w:r>
    </w:p>
    <w:p w:rsidR="00000000" w:rsidDel="00000000" w:rsidP="00000000" w:rsidRDefault="00000000" w:rsidRPr="00000000" w14:paraId="00000020">
      <w:pPr>
        <w:pageBreakBefore w:val="0"/>
        <w:numPr>
          <w:ilvl w:val="0"/>
          <w:numId w:val="1"/>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Les formules “par exemple”, “comme”, “tel que”...</w:t>
      </w:r>
    </w:p>
    <w:p w:rsidR="00000000" w:rsidDel="00000000" w:rsidP="00000000" w:rsidRDefault="00000000" w:rsidRPr="00000000" w14:paraId="00000021">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w:t>
      </w:r>
      <w:r w:rsidDel="00000000" w:rsidR="00000000" w:rsidRPr="00000000">
        <w:rPr>
          <w:rFonts w:ascii="Verdana" w:cs="Verdana" w:eastAsia="Verdana" w:hAnsi="Verdana"/>
          <w:color w:val="45818e"/>
          <w:sz w:val="24"/>
          <w:szCs w:val="24"/>
          <w:rtl w:val="0"/>
        </w:rPr>
        <w:t xml:space="preserve"> </w:t>
      </w:r>
      <w:r w:rsidDel="00000000" w:rsidR="00000000" w:rsidRPr="00000000">
        <w:rPr>
          <w:rFonts w:ascii="Verdana" w:cs="Verdana" w:eastAsia="Verdana" w:hAnsi="Verdana"/>
          <w:i w:val="1"/>
          <w:color w:val="666666"/>
          <w:sz w:val="24"/>
          <w:szCs w:val="24"/>
          <w:rtl w:val="0"/>
        </w:rPr>
        <w:t xml:space="preserve">L’emploi de l’impératif, </w:t>
      </w:r>
      <w:r w:rsidDel="00000000" w:rsidR="00000000" w:rsidRPr="00000000">
        <w:rPr>
          <w:rFonts w:ascii="Verdana" w:cs="Verdana" w:eastAsia="Verdana" w:hAnsi="Verdana"/>
          <w:b w:val="1"/>
          <w:i w:val="1"/>
          <w:color w:val="666666"/>
          <w:sz w:val="24"/>
          <w:szCs w:val="24"/>
          <w:rtl w:val="0"/>
        </w:rPr>
        <w:t xml:space="preserve">par exemple</w:t>
      </w:r>
      <w:r w:rsidDel="00000000" w:rsidR="00000000" w:rsidRPr="00000000">
        <w:rPr>
          <w:rFonts w:ascii="Verdana" w:cs="Verdana" w:eastAsia="Verdana" w:hAnsi="Verdana"/>
          <w:i w:val="1"/>
          <w:color w:val="666666"/>
          <w:sz w:val="24"/>
          <w:szCs w:val="24"/>
          <w:rtl w:val="0"/>
        </w:rPr>
        <w:t xml:space="preserve"> dans la phrase “ne perdons point notre temps; suis-moi” (l.22) met en évidence son empressement à quitter l’île. </w:t>
      </w:r>
    </w:p>
    <w:p w:rsidR="00000000" w:rsidDel="00000000" w:rsidP="00000000" w:rsidRDefault="00000000" w:rsidRPr="00000000" w14:paraId="00000022">
      <w:pPr>
        <w:pageBreakBefore w:val="0"/>
        <w:spacing w:line="360" w:lineRule="auto"/>
        <w:rPr>
          <w:rFonts w:ascii="Verdana" w:cs="Verdana" w:eastAsia="Verdana" w:hAnsi="Verdana"/>
          <w:i w:val="1"/>
          <w:sz w:val="24"/>
          <w:szCs w:val="24"/>
        </w:rPr>
      </w:pPr>
      <w:r w:rsidDel="00000000" w:rsidR="00000000" w:rsidRPr="00000000">
        <w:rPr>
          <w:rtl w:val="0"/>
        </w:rPr>
      </w:r>
    </w:p>
    <w:p w:rsidR="00000000" w:rsidDel="00000000" w:rsidP="00000000" w:rsidRDefault="00000000" w:rsidRPr="00000000" w14:paraId="00000023">
      <w:pPr>
        <w:pageBreakBefore w:val="0"/>
        <w:numPr>
          <w:ilvl w:val="0"/>
          <w:numId w:val="7"/>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Les procédés d’écriture (comparaison, champ lexical, emploi d’un mode verbal…)</w:t>
      </w:r>
    </w:p>
    <w:p w:rsidR="00000000" w:rsidDel="00000000" w:rsidP="00000000" w:rsidRDefault="00000000" w:rsidRPr="00000000" w14:paraId="00000024">
      <w:pPr>
        <w:pageBreakBefore w:val="0"/>
        <w:spacing w:line="360" w:lineRule="auto"/>
        <w:ind w:left="720" w:firstLine="0"/>
        <w:rPr>
          <w:rFonts w:ascii="Verdana" w:cs="Verdana" w:eastAsia="Verdana" w:hAnsi="Verdana"/>
          <w:i w:val="1"/>
          <w:color w:val="666666"/>
          <w:sz w:val="24"/>
          <w:szCs w:val="24"/>
        </w:rPr>
      </w:pPr>
      <w:r w:rsidDel="00000000" w:rsidR="00000000" w:rsidRPr="00000000">
        <w:rPr>
          <w:rFonts w:ascii="Verdana" w:cs="Verdana" w:eastAsia="Verdana" w:hAnsi="Verdana"/>
          <w:i w:val="1"/>
          <w:color w:val="666666"/>
          <w:sz w:val="24"/>
          <w:szCs w:val="24"/>
          <w:rtl w:val="0"/>
        </w:rPr>
        <w:t xml:space="preserve">Ex: Le </w:t>
      </w:r>
      <w:r w:rsidDel="00000000" w:rsidR="00000000" w:rsidRPr="00000000">
        <w:rPr>
          <w:rFonts w:ascii="Verdana" w:cs="Verdana" w:eastAsia="Verdana" w:hAnsi="Verdana"/>
          <w:b w:val="1"/>
          <w:i w:val="1"/>
          <w:color w:val="666666"/>
          <w:sz w:val="24"/>
          <w:szCs w:val="24"/>
          <w:rtl w:val="0"/>
        </w:rPr>
        <w:t xml:space="preserve">jeu de mot</w:t>
      </w:r>
      <w:r w:rsidDel="00000000" w:rsidR="00000000" w:rsidRPr="00000000">
        <w:rPr>
          <w:rFonts w:ascii="Verdana" w:cs="Verdana" w:eastAsia="Verdana" w:hAnsi="Verdana"/>
          <w:i w:val="1"/>
          <w:color w:val="666666"/>
          <w:sz w:val="24"/>
          <w:szCs w:val="24"/>
          <w:rtl w:val="0"/>
        </w:rPr>
        <w:t xml:space="preserve"> “Et que le fin du fin ne soit la fin des fins” au vers 1433 séduit Roxane, car elle apprécie cette maîtrise du langage qui correspond à la mode de la préciosité. </w:t>
      </w:r>
    </w:p>
    <w:p w:rsidR="00000000" w:rsidDel="00000000" w:rsidP="00000000" w:rsidRDefault="00000000" w:rsidRPr="00000000" w14:paraId="00000025">
      <w:pPr>
        <w:pageBreakBefore w:val="0"/>
        <w:spacing w:line="360" w:lineRule="auto"/>
        <w:rPr>
          <w:rFonts w:ascii="Verdana" w:cs="Verdana" w:eastAsia="Verdana" w:hAnsi="Verdana"/>
          <w:i w:val="1"/>
          <w:color w:val="666666"/>
          <w:sz w:val="24"/>
          <w:szCs w:val="24"/>
        </w:rPr>
      </w:pPr>
      <w:r w:rsidDel="00000000" w:rsidR="00000000" w:rsidRPr="00000000">
        <w:rPr>
          <w:rtl w:val="0"/>
        </w:rPr>
      </w:r>
    </w:p>
    <w:p w:rsidR="00000000" w:rsidDel="00000000" w:rsidP="00000000" w:rsidRDefault="00000000" w:rsidRPr="00000000" w14:paraId="00000026">
      <w:pPr>
        <w:pageBreakBefore w:val="0"/>
        <w:numPr>
          <w:ilvl w:val="0"/>
          <w:numId w:val="9"/>
        </w:numPr>
        <w:spacing w:line="360" w:lineRule="auto"/>
        <w:ind w:left="72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Pour amorcer votre analyse, utilisez des verbes introducteurs: employer, utiliser, avoir recours à, qualifier, préciser, suggérer, évoquer, souligner, renforcer, décrire, expliquer, mettre en exergue, indiquer, désigner, mentionner, insister sur…</w:t>
      </w:r>
      <w:r w:rsidDel="00000000" w:rsidR="00000000" w:rsidRPr="00000000">
        <w:rPr>
          <w:rtl w:val="0"/>
        </w:rPr>
      </w:r>
    </w:p>
    <w:p w:rsidR="00000000" w:rsidDel="00000000" w:rsidP="00000000" w:rsidRDefault="00000000" w:rsidRPr="00000000" w14:paraId="00000027">
      <w:pPr>
        <w:pageBreakBefore w:val="0"/>
        <w:spacing w:line="360" w:lineRule="auto"/>
        <w:rPr>
          <w:rFonts w:ascii="Verdana" w:cs="Verdana" w:eastAsia="Verdana" w:hAnsi="Verdana"/>
          <w:i w:val="1"/>
          <w:color w:val="666666"/>
          <w:sz w:val="24"/>
          <w:szCs w:val="24"/>
        </w:rPr>
      </w:pPr>
      <w:r w:rsidDel="00000000" w:rsidR="00000000" w:rsidRPr="00000000">
        <w:rPr>
          <w:rtl w:val="0"/>
        </w:rPr>
      </w:r>
    </w:p>
    <w:p w:rsidR="00000000" w:rsidDel="00000000" w:rsidP="00000000" w:rsidRDefault="00000000" w:rsidRPr="00000000" w14:paraId="00000028">
      <w:pPr>
        <w:pageBreakBefore w:val="0"/>
        <w:spacing w:line="360" w:lineRule="auto"/>
        <w:rPr>
          <w:rFonts w:ascii="Verdana" w:cs="Verdana" w:eastAsia="Verdana" w:hAnsi="Verdana"/>
          <w:color w:val="666666"/>
          <w:sz w:val="24"/>
          <w:szCs w:val="24"/>
        </w:rPr>
      </w:pPr>
      <w:r w:rsidDel="00000000" w:rsidR="00000000" w:rsidRPr="00000000">
        <w:rPr>
          <w:rFonts w:ascii="Verdana" w:cs="Verdana" w:eastAsia="Verdana" w:hAnsi="Verdana"/>
          <w:color w:val="666666"/>
          <w:sz w:val="24"/>
          <w:szCs w:val="24"/>
          <w:rtl w:val="0"/>
        </w:rPr>
        <w:t xml:space="preserve">Ex: La répétition du verbe “dire” au vers 760 </w:t>
      </w:r>
      <w:r w:rsidDel="00000000" w:rsidR="00000000" w:rsidRPr="00000000">
        <w:rPr>
          <w:rFonts w:ascii="Verdana" w:cs="Verdana" w:eastAsia="Verdana" w:hAnsi="Verdana"/>
          <w:b w:val="1"/>
          <w:color w:val="666666"/>
          <w:sz w:val="24"/>
          <w:szCs w:val="24"/>
          <w:rtl w:val="0"/>
        </w:rPr>
        <w:t xml:space="preserve">suggère</w:t>
      </w:r>
      <w:r w:rsidDel="00000000" w:rsidR="00000000" w:rsidRPr="00000000">
        <w:rPr>
          <w:rFonts w:ascii="Verdana" w:cs="Verdana" w:eastAsia="Verdana" w:hAnsi="Verdana"/>
          <w:color w:val="666666"/>
          <w:sz w:val="24"/>
          <w:szCs w:val="24"/>
          <w:rtl w:val="0"/>
        </w:rPr>
        <w:t xml:space="preserve"> l’impatience de Cyrano qui espère entendre une déclaration d’amour de la part de Roxane.</w:t>
      </w:r>
    </w:p>
    <w:p w:rsidR="00000000" w:rsidDel="00000000" w:rsidP="00000000" w:rsidRDefault="00000000" w:rsidRPr="00000000" w14:paraId="00000029">
      <w:pPr>
        <w:pageBreakBefore w:val="0"/>
        <w:spacing w:line="360" w:lineRule="auto"/>
        <w:rPr>
          <w:rFonts w:ascii="Verdana" w:cs="Verdana" w:eastAsia="Verdana" w:hAnsi="Verdana"/>
          <w:b w:val="1"/>
          <w:sz w:val="24"/>
          <w:szCs w:val="24"/>
        </w:rPr>
      </w:pPr>
      <w:r w:rsidDel="00000000" w:rsidR="00000000" w:rsidRPr="00000000">
        <w:rPr>
          <w:rtl w:val="0"/>
        </w:rPr>
      </w:r>
    </w:p>
    <w:p w:rsidR="00000000" w:rsidDel="00000000" w:rsidP="00000000" w:rsidRDefault="00000000" w:rsidRPr="00000000" w14:paraId="0000002A">
      <w:pPr>
        <w:pageBreakBefore w:val="0"/>
        <w:spacing w:line="360" w:lineRule="auto"/>
        <w:rPr>
          <w:rFonts w:ascii="Verdana" w:cs="Verdana" w:eastAsia="Verdana" w:hAnsi="Verdana"/>
          <w:b w:val="1"/>
          <w:sz w:val="24"/>
          <w:szCs w:val="24"/>
          <w:u w:val="single"/>
        </w:rPr>
      </w:pPr>
      <w:r w:rsidDel="00000000" w:rsidR="00000000" w:rsidRPr="00000000">
        <w:rPr>
          <w:rtl w:val="0"/>
        </w:rPr>
      </w:r>
    </w:p>
    <w:p w:rsidR="00000000" w:rsidDel="00000000" w:rsidP="00000000" w:rsidRDefault="00000000" w:rsidRPr="00000000" w14:paraId="0000002B">
      <w:pPr>
        <w:pageBreakBefore w:val="0"/>
        <w:spacing w:line="360" w:lineRule="auto"/>
        <w:rPr>
          <w:rFonts w:ascii="Verdana" w:cs="Verdana" w:eastAsia="Verdana" w:hAnsi="Verdana"/>
          <w:b w:val="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2C">
      <w:pPr>
        <w:pageBreakBefore w:val="0"/>
        <w:spacing w:line="360" w:lineRule="auto"/>
        <w:rPr>
          <w:b w:val="1"/>
          <w:sz w:val="24"/>
          <w:szCs w:val="24"/>
          <w:u w:val="single"/>
        </w:rPr>
      </w:pPr>
      <w:r w:rsidDel="00000000" w:rsidR="00000000" w:rsidRPr="00000000">
        <w:rPr>
          <w:b w:val="1"/>
          <w:sz w:val="24"/>
          <w:szCs w:val="24"/>
          <w:u w:val="single"/>
          <w:rtl w:val="0"/>
        </w:rPr>
        <w:t xml:space="preserve">Exercice</w:t>
      </w:r>
    </w:p>
    <w:p w:rsidR="00000000" w:rsidDel="00000000" w:rsidP="00000000" w:rsidRDefault="00000000" w:rsidRPr="00000000" w14:paraId="0000002D">
      <w:pPr>
        <w:pageBreakBefore w:val="0"/>
        <w:spacing w:line="360" w:lineRule="auto"/>
        <w:rPr>
          <w:b w:val="1"/>
          <w:sz w:val="24"/>
          <w:szCs w:val="24"/>
        </w:rPr>
      </w:pPr>
      <w:r w:rsidDel="00000000" w:rsidR="00000000" w:rsidRPr="00000000">
        <w:rPr>
          <w:rtl w:val="0"/>
        </w:rPr>
      </w:r>
    </w:p>
    <w:p w:rsidR="00000000" w:rsidDel="00000000" w:rsidP="00000000" w:rsidRDefault="00000000" w:rsidRPr="00000000" w14:paraId="0000002E">
      <w:pPr>
        <w:pageBreakBefore w:val="0"/>
        <w:spacing w:line="360" w:lineRule="auto"/>
        <w:rPr>
          <w:b w:val="1"/>
          <w:sz w:val="24"/>
          <w:szCs w:val="24"/>
        </w:rPr>
      </w:pPr>
      <w:r w:rsidDel="00000000" w:rsidR="00000000" w:rsidRPr="00000000">
        <w:rPr>
          <w:b w:val="1"/>
          <w:sz w:val="24"/>
          <w:szCs w:val="24"/>
          <w:rtl w:val="0"/>
        </w:rPr>
        <w:t xml:space="preserve">Les réponses suivantes doivent être reformulées, notamment parce que les citations n’ont pas été bien insérées. A vous de les corriger !</w:t>
      </w:r>
    </w:p>
    <w:p w:rsidR="00000000" w:rsidDel="00000000" w:rsidP="00000000" w:rsidRDefault="00000000" w:rsidRPr="00000000" w14:paraId="0000002F">
      <w:pPr>
        <w:pageBreakBefore w:val="0"/>
        <w:spacing w:line="360" w:lineRule="auto"/>
        <w:rPr>
          <w:b w:val="1"/>
          <w:sz w:val="24"/>
          <w:szCs w:val="24"/>
        </w:rPr>
      </w:pPr>
      <w:r w:rsidDel="00000000" w:rsidR="00000000" w:rsidRPr="00000000">
        <w:rPr>
          <w:rtl w:val="0"/>
        </w:rPr>
      </w:r>
    </w:p>
    <w:p w:rsidR="00000000" w:rsidDel="00000000" w:rsidP="00000000" w:rsidRDefault="00000000" w:rsidRPr="00000000" w14:paraId="00000030">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La particularité de l’île des esclaves est que tous les maîtres qui arriveront sur l’île seront tués ou réduits en esclavage. Ex: (l.29) “tuer tous les maître, ou les réduire en esclavage.</w:t>
      </w:r>
    </w:p>
    <w:p w:rsidR="00000000" w:rsidDel="00000000" w:rsidP="00000000" w:rsidRDefault="00000000" w:rsidRPr="00000000" w14:paraId="00000031">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032">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Sur cette île, Arlequin ressent de la peur car il va sûrement être jeté en esclavage “Mais je suis en danger de perdre la liberté et peut-être la vie: Arlequin, cela ne suffit-il pas pour me plaindre ?” (l.35-36)</w:t>
      </w:r>
    </w:p>
    <w:p w:rsidR="00000000" w:rsidDel="00000000" w:rsidP="00000000" w:rsidRDefault="00000000" w:rsidRPr="00000000" w14:paraId="00000033">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034">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Sur cette île Iphicrate se sent en danger car: “ Ce sont des esclaves de la Grèce [...] les jeter en esclavage.” (réplique d’Iphicrate lignes 26 à 29). </w:t>
      </w:r>
    </w:p>
    <w:p w:rsidR="00000000" w:rsidDel="00000000" w:rsidP="00000000" w:rsidRDefault="00000000" w:rsidRPr="00000000" w14:paraId="00000035">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036">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L’attitude d’Arlequin évolue car au début il est esclave, “Arlequin !”, “Mon patron !” il obéit et quand Iphicrate est en danger, Arlequin adopte un comportement moins respectueux “Ah ! Je vous plains de tout mon coeur, cela est juste.”</w:t>
      </w:r>
    </w:p>
    <w:p w:rsidR="00000000" w:rsidDel="00000000" w:rsidP="00000000" w:rsidRDefault="00000000" w:rsidRPr="00000000" w14:paraId="00000037">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038">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Arlequin vouvoie Iphicrate (ligne 21): “et puis je vous donnerai le reste.”</w:t>
      </w:r>
    </w:p>
    <w:p w:rsidR="00000000" w:rsidDel="00000000" w:rsidP="00000000" w:rsidRDefault="00000000" w:rsidRPr="00000000" w14:paraId="00000039">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03A">
      <w:pPr>
        <w:pageBreakBefore w:val="0"/>
        <w:numPr>
          <w:ilvl w:val="0"/>
          <w:numId w:val="8"/>
        </w:numPr>
        <w:spacing w:line="360" w:lineRule="auto"/>
        <w:ind w:left="720" w:hanging="360"/>
        <w:rPr>
          <w:sz w:val="24"/>
          <w:szCs w:val="24"/>
        </w:rPr>
      </w:pPr>
      <w:r w:rsidDel="00000000" w:rsidR="00000000" w:rsidRPr="00000000">
        <w:rPr>
          <w:sz w:val="24"/>
          <w:szCs w:val="24"/>
          <w:rtl w:val="0"/>
        </w:rPr>
        <w:t xml:space="preserve">Arlequin n’accorde d’abord aucune importance au sort que va subir son maître “Ah ! Je vous plains de tout mon coeur” mais au fur et à mesure il se montre plus clément: “Je vous pardonne.”</w:t>
      </w:r>
    </w:p>
    <w:p w:rsidR="00000000" w:rsidDel="00000000" w:rsidP="00000000" w:rsidRDefault="00000000" w:rsidRPr="00000000" w14:paraId="0000003B">
      <w:pPr>
        <w:pageBreakBefore w:val="0"/>
        <w:spacing w:line="360" w:lineRule="auto"/>
        <w:rPr>
          <w:sz w:val="24"/>
          <w:szCs w:val="24"/>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